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Vehicle Condition Report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</w:t>
      </w:r>
    </w:p>
    <w:p>
      <w:r>
        <w:rPr>
          <w:rFonts w:ascii="Calibri" w:hAnsi="Calibri"/>
          <w:b/>
          <w:i w:val="0"/>
          <w:color w:val="41AFEB"/>
          <w:sz w:val="17"/>
        </w:rPr>
        <w:t>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Report #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 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RO # (if opened)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Color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Keys received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EXTERIOR CONDITION AT DROP-OFF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456"/>
        </w:trPr>
        <w:tc>
          <w:tcPr>
            <w:tcW w:type="dxa" w:w="1036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NOTES ON EXISTING DAMAGE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p>
      <w:r>
        <w:rPr>
          <w:rFonts w:ascii="Calibri" w:hAnsi="Calibri"/>
          <w:b/>
          <w:i w:val="0"/>
          <w:color w:val="41AFEB"/>
          <w:sz w:val="17"/>
        </w:rPr>
        <w:t>INTERIOR &amp; OPERATION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Seats, carpet, headliner — stains, tears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Dashboard &amp; trim — cracks, damage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 at start (note which)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Windows, mirrors &amp; glass — chips, cracks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Tires — visible wear or damage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Odor, smoke, or pet hair noted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PERSONAL ITEMS LEFT IN 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Items in cabin / trunk (list)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tire &amp; jack present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Owner's manual / registration in glovebox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456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CONCERN / REASON FOR VISIT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The vehicle was received in the condition noted above. The shop is not responsible for pre-existing damage not marked here, or for personal items not listed. The customer has reviewed this report at drop-off.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 (shop)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