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Vehicle Walk-Around Inspection Form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Phone  —  done WITH the customer at drop-off, each area initialed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/ time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Plate or VIN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 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Advisor / tech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RO #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Fuel (E–F)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WALK THE VEHICLE TOGETHER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Area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Condition / damage found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Cust.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Shop</w:t>
            </w:r>
          </w:p>
        </w:tc>
      </w:tr>
      <w:tr>
        <w:trPr>
          <w:trHeight w:val="576"/>
        </w:trP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1. Front — bumper, hood, grille, lights, windshield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rPr>
          <w:trHeight w:val="576"/>
        </w:trP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2. Driver side — front fender, doors, rear quarter, mirror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rPr>
          <w:trHeight w:val="576"/>
        </w:trP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3. Rear — bumper, trunk / tailgate, lights, glass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rPr>
          <w:trHeight w:val="576"/>
        </w:trP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4. Passenger side — front fender, doors, rear quarter, mirror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rPr>
          <w:trHeight w:val="576"/>
        </w:trP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5. Roof, sunroof, antenna, glass all around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rPr>
          <w:trHeight w:val="576"/>
        </w:trP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6. Wheels &amp; tires — all four + spare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rPr>
          <w:trHeight w:val="576"/>
        </w:trP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7. Interior — seats, dash, carpet, odor, warning lights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rPr>
          <w:trHeight w:val="576"/>
        </w:trP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8. Under hood — visible leaks, battery, belts (visual only)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DIAGRAM — MARK DAMAGE FOUND</w:t>
      </w:r>
    </w:p>
    <w:p>
      <w:r>
        <w:rPr>
          <w:rFonts w:ascii="Calibri" w:hAnsi="Calibri"/>
          <w:b w:val="0"/>
          <w:i/>
          <w:color w:val="6C757D"/>
          <w:sz w:val="15"/>
        </w:rPr>
        <w:t>Mark existing damage on the diagram (S scratch · D dent · C chip/crack · R rust · P paint · M missing · X prior repair). In Word, draw or type the letter over the area; the printed PDF version has the car outline.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456"/>
        </w:trPr>
        <w:tc>
          <w:tcPr>
            <w:tcW w:type="dxa" w:w="1036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FRONT</w:t>
              <w:br/>
              <w:br/>
              <w:br/>
              <w:br/>
              <w:br/>
              <w:br/>
              <w:br/>
              <w:br/>
              <w:br/>
              <w:t>REAR</w:t>
            </w:r>
          </w:p>
        </w:tc>
      </w:tr>
    </w:tbl>
    <w:p>
      <w:r>
        <w:rPr>
          <w:rFonts w:ascii="Calibri" w:hAnsi="Calibri"/>
          <w:b w:val="0"/>
          <w:i w:val="0"/>
          <w:sz w:val="15"/>
        </w:rPr>
        <w:t>We walked around the vehicle together and agree on the condition recorded above. Initials in the Cust. and Shop columns confirm each area was reviewed by both.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Shop signature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Manage your repair orders digitally at garageauto.app  · 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